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4D" w:rsidRDefault="0037134D" w:rsidP="0037134D">
      <w:pPr>
        <w:spacing w:after="0" w:line="240" w:lineRule="auto"/>
        <w:rPr>
          <w:rFonts w:eastAsia="Times New Roman" w:cs="Times New Roman"/>
          <w:b/>
          <w:bCs/>
          <w:lang w:eastAsia="en-GB"/>
        </w:rPr>
      </w:pPr>
      <w:bookmarkStart w:id="0" w:name="_GoBack"/>
      <w:bookmarkEnd w:id="0"/>
      <w:r w:rsidRPr="0037134D">
        <w:rPr>
          <w:rFonts w:eastAsia="Times New Roman" w:cs="Times New Roman"/>
          <w:b/>
          <w:bCs/>
          <w:lang w:eastAsia="en-GB"/>
        </w:rPr>
        <w:t>Y</w:t>
      </w:r>
      <w:r w:rsidRPr="0037134D">
        <w:rPr>
          <w:rFonts w:eastAsia="Times New Roman" w:cs="Times New Roman"/>
          <w:b/>
          <w:bCs/>
          <w:lang w:eastAsia="en-GB"/>
        </w:rPr>
        <w:t>EAR 7 NUMERACY AND LITERACY CATCH-UP PREMIUM (2015-16)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In 2013 the Government made a commitment to provide annual additional educational funding to schools for each Year 7 pupil who had not achieved level 4 in reading and/or mathematics at Key Stage 2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Schools received additional funding of £500 for each Year 7 pupil who did not achieve at least level 4 in reading and/or mathematics at Key Stage 2.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b/>
          <w:bCs/>
          <w:u w:val="single"/>
          <w:lang w:eastAsia="en-GB"/>
        </w:rPr>
      </w:pPr>
      <w:r w:rsidRPr="0037134D">
        <w:rPr>
          <w:rFonts w:eastAsia="Times New Roman" w:cs="Times New Roman"/>
          <w:b/>
          <w:bCs/>
          <w:u w:val="single"/>
          <w:lang w:eastAsia="en-GB"/>
        </w:rPr>
        <w:t>Catch-Up Premium (2015 - 2016)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 xml:space="preserve">In 2015-16, the allocation for Walthamstow School </w:t>
      </w:r>
      <w:r w:rsidRPr="0037134D">
        <w:rPr>
          <w:rFonts w:eastAsia="Times New Roman" w:cs="Times New Roman"/>
          <w:lang w:eastAsia="en-GB"/>
        </w:rPr>
        <w:t>for</w:t>
      </w:r>
      <w:r w:rsidRPr="0037134D">
        <w:rPr>
          <w:rFonts w:eastAsia="Times New Roman" w:cs="Times New Roman"/>
          <w:lang w:eastAsia="en-GB"/>
        </w:rPr>
        <w:t xml:space="preserve"> Girls was £11,000 (22 pupils)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This additional grant was primarily used to target support in small intervention groups.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u w:val="single"/>
          <w:lang w:eastAsia="en-GB"/>
        </w:rPr>
        <w:t>Literacy Support</w:t>
      </w: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A dedicated Year 7 Literacy catch-up programme is run by a Teacher of Literacy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Students are selected on the basis of their KS2 data on entry and CATs assessments conducted at the beginning of Year 7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This year a cohort of 25 students were identified for intensive literacy sessions through the programme to ensure all made at least expected progress through Year 7.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We also run an Accelerated Reader project in Year 7 to build reading skills in a structured programme of reading and reviewing both fiction and non-fiction texts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This project is overseen by the Accelerated Co-ordinator and Learning Resources Centre (LRC).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u w:val="single"/>
          <w:lang w:eastAsia="en-GB"/>
        </w:rPr>
        <w:t>Numeracy Support</w:t>
      </w: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We continued with our successful grant funded Mathematics Transition Project with three partner primary schools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This project initially employed two dedicated Teachers of Mathematics to teach Year 6 students at our partner schools and identified underachieving Year 7 students at our school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The aim of this project was to tackle the underachievement at the primary level so that we minimise the number of students who enter Year 7 at below level 4.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u w:val="single"/>
          <w:lang w:eastAsia="en-GB"/>
        </w:rPr>
        <w:t>Impact of Year 7 Catch-Up Funding</w:t>
      </w: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The impact of the Year 7 catch-up funding was evaluated through the school’s data and assessment tracking systems, where National Curriculum levels and progress were analysed for patterns and trends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Support was adapted at these points, if appropriate, in order to meet individual student's needs.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The student progress following the Literacy and Numeracy Catch-Up programmes were as follows: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62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496"/>
        <w:gridCol w:w="1632"/>
      </w:tblGrid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 </w:t>
            </w:r>
            <w:r w:rsidRPr="0037134D">
              <w:rPr>
                <w:rFonts w:eastAsia="Times New Roman" w:cs="Times New Roman"/>
                <w:b/>
                <w:bCs/>
                <w:lang w:eastAsia="en-GB"/>
              </w:rPr>
              <w:t>Literacy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b/>
                <w:bCs/>
                <w:lang w:eastAsia="en-GB"/>
              </w:rPr>
              <w:t>2014-15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b/>
                <w:bCs/>
                <w:lang w:eastAsia="en-GB"/>
              </w:rPr>
              <w:t>2015-16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&lt; Level 4 English (reading)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7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11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2+ Levels progress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6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10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3+ levels progress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3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6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Level 4+ English at EOY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6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b/>
                <w:bCs/>
                <w:lang w:eastAsia="en-GB"/>
              </w:rPr>
              <w:t>Numeracy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b/>
                <w:bCs/>
                <w:lang w:eastAsia="en-GB"/>
              </w:rPr>
              <w:t>2014-15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b/>
                <w:bCs/>
                <w:lang w:eastAsia="en-GB"/>
              </w:rPr>
              <w:t>2015-16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&lt; Level 4 Maths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14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20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2+ Levels progress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10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10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3+ levels progress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5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6</w:t>
            </w:r>
          </w:p>
        </w:tc>
      </w:tr>
      <w:tr w:rsidR="0037134D" w:rsidRPr="0037134D" w:rsidTr="000A29F9">
        <w:trPr>
          <w:tblCellSpacing w:w="0" w:type="dxa"/>
          <w:jc w:val="center"/>
        </w:trPr>
        <w:tc>
          <w:tcPr>
            <w:tcW w:w="2124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Level 4+ Maths at EOY</w:t>
            </w:r>
          </w:p>
        </w:tc>
        <w:tc>
          <w:tcPr>
            <w:tcW w:w="2496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8</w:t>
            </w:r>
          </w:p>
        </w:tc>
        <w:tc>
          <w:tcPr>
            <w:tcW w:w="1632" w:type="dxa"/>
            <w:noWrap/>
            <w:vAlign w:val="bottom"/>
            <w:hideMark/>
          </w:tcPr>
          <w:p w:rsidR="0037134D" w:rsidRPr="0037134D" w:rsidRDefault="0037134D" w:rsidP="0037134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37134D">
              <w:rPr>
                <w:rFonts w:eastAsia="Times New Roman" w:cs="Times New Roman"/>
                <w:lang w:eastAsia="en-GB"/>
              </w:rPr>
              <w:t>12</w:t>
            </w:r>
          </w:p>
        </w:tc>
      </w:tr>
    </w:tbl>
    <w:p w:rsidR="0037134D" w:rsidRDefault="0037134D" w:rsidP="0037134D">
      <w:pPr>
        <w:spacing w:after="0" w:line="240" w:lineRule="auto"/>
        <w:rPr>
          <w:rFonts w:eastAsia="Times New Roman" w:cs="Times New Roman"/>
          <w:b/>
          <w:bCs/>
          <w:u w:val="single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b/>
          <w:bCs/>
          <w:u w:val="single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b/>
          <w:bCs/>
          <w:u w:val="single"/>
          <w:lang w:eastAsia="en-GB"/>
        </w:rPr>
      </w:pPr>
    </w:p>
    <w:p w:rsidR="0037134D" w:rsidRDefault="0037134D" w:rsidP="0037134D">
      <w:pPr>
        <w:spacing w:after="0" w:line="240" w:lineRule="auto"/>
        <w:rPr>
          <w:rFonts w:eastAsia="Times New Roman" w:cs="Times New Roman"/>
          <w:b/>
          <w:bCs/>
          <w:u w:val="single"/>
          <w:lang w:eastAsia="en-GB"/>
        </w:rPr>
      </w:pPr>
      <w:r w:rsidRPr="0037134D">
        <w:rPr>
          <w:rFonts w:eastAsia="Times New Roman" w:cs="Times New Roman"/>
          <w:b/>
          <w:bCs/>
          <w:u w:val="single"/>
          <w:lang w:eastAsia="en-GB"/>
        </w:rPr>
        <w:t>Catch-Up Premium (2016 - 2017)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b/>
          <w:bCs/>
          <w:u w:val="single"/>
          <w:lang w:eastAsia="en-GB"/>
        </w:rPr>
      </w:pP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Our provisional allocation based on Year 7 entry data will be £18,500 (31 students).</w:t>
      </w:r>
    </w:p>
    <w:p w:rsidR="0037134D" w:rsidRPr="0037134D" w:rsidRDefault="0037134D" w:rsidP="0037134D">
      <w:pPr>
        <w:spacing w:after="0" w:line="240" w:lineRule="auto"/>
        <w:rPr>
          <w:rFonts w:eastAsia="Times New Roman" w:cs="Times New Roman"/>
          <w:lang w:eastAsia="en-GB"/>
        </w:rPr>
      </w:pPr>
      <w:r w:rsidRPr="0037134D">
        <w:rPr>
          <w:rFonts w:eastAsia="Times New Roman" w:cs="Times New Roman"/>
          <w:lang w:eastAsia="en-GB"/>
        </w:rPr>
        <w:t>As student outcomes were positive last year, the current Year 7 students are following a similar programme to that of 2015-2016 cohort, to develop their reading, spelling and numeracy skills.</w:t>
      </w:r>
    </w:p>
    <w:p w:rsidR="00D25A65" w:rsidRPr="0037134D" w:rsidRDefault="0037134D" w:rsidP="0037134D">
      <w:pPr>
        <w:spacing w:after="0" w:line="240" w:lineRule="auto"/>
      </w:pPr>
      <w:r w:rsidRPr="0037134D">
        <w:rPr>
          <w:rFonts w:eastAsia="Times New Roman" w:cs="Times New Roman"/>
          <w:lang w:eastAsia="en-GB"/>
        </w:rPr>
        <w:t>We have continued to invest in the Mathematics Transition Project with the shared employment of one KS2/KS3 mathematics teacher who will work with pupils who risk transferring to secondary school with mathematics levels below level 4</w:t>
      </w:r>
      <w:r w:rsidRPr="0037134D">
        <w:rPr>
          <w:rFonts w:eastAsia="Times New Roman" w:cs="Times New Roman"/>
          <w:lang w:eastAsia="en-GB"/>
        </w:rPr>
        <w:t xml:space="preserve">.  </w:t>
      </w:r>
      <w:r w:rsidRPr="0037134D">
        <w:rPr>
          <w:rFonts w:eastAsia="Times New Roman" w:cs="Times New Roman"/>
          <w:lang w:eastAsia="en-GB"/>
        </w:rPr>
        <w:t>This project continues with three schools involved; Walthamstow School For Girls, Henry Maynard and Green Leaf Primary School.</w:t>
      </w:r>
    </w:p>
    <w:sectPr w:rsidR="00D25A65" w:rsidRPr="00371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D"/>
    <w:rsid w:val="0037134D"/>
    <w:rsid w:val="00D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A5CA-59E1-439D-B525-8485EEA9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D2D57EE9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>Walthamstow School for Girls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dcterms:created xsi:type="dcterms:W3CDTF">2017-03-09T12:11:00Z</dcterms:created>
  <dcterms:modified xsi:type="dcterms:W3CDTF">2017-03-09T12:13:00Z</dcterms:modified>
</cp:coreProperties>
</file>